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6E1" w:rsidRPr="009176E1" w:rsidRDefault="009176E1" w:rsidP="009176E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De: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hyperlink r:id="rId5" w:history="1">
        <w:r w:rsidRPr="009176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CO"/>
          </w:rPr>
          <w:t>davidharbord@market-analysis.co.uk</w:t>
        </w:r>
      </w:hyperlink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Fecha: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9 de diciembre de 2013 11:39:35 GMT-5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Para: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hyperlink r:id="rId6" w:history="1">
        <w:r w:rsidRPr="009176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CO"/>
          </w:rPr>
          <w:t>javier.diaz@creg.gov.co</w:t>
        </w:r>
      </w:hyperlink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Cc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: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hyperlink r:id="rId7" w:history="1">
        <w:r w:rsidRPr="009176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CO"/>
          </w:rPr>
          <w:t>carlos.eraso@creg.gov.co</w:t>
        </w:r>
      </w:hyperlink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Asunto:</w:t>
      </w:r>
      <w:r w:rsidRPr="009176E1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Re: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Evaluation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of CREG 051 -- 2009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Regulatory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Intervention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Colombian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Electricity</w:t>
      </w:r>
      <w:proofErr w:type="spellEnd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proofErr w:type="spellStart"/>
      <w:r w:rsidRPr="009176E1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Market</w:t>
      </w:r>
      <w:proofErr w:type="spellEnd"/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Dear Javier,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Below are some comments by Nils-Henrik von der Fehr and </w:t>
      </w: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I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with respect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to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: "An Evaluation of CREG 051 -- 2009 Regulatory Intervention in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Colombian Electricity Market," by Luciano de Castro, Shmuel Oren and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Alvaro J. Riascos, November 19, 2013.  After a number of attempts we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still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find it quite difficult to follow all of statistical and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econometric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analysis in this report, and some of the annexes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explaining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the methodology for constructing marginal and opportunity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costs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appear to be missing. We can only offer some fairly broad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comments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, therefore, subject to this caveat.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(1) Much of the report's analysis is sensitive to estimated hydro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opportunity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costs which are difficult to calculate, but the method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chosen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here is likely not very reliable outside of normal conditions. 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In any case, hydro opportunity costs should probably reflect more </w:t>
      </w: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Nino/ La Nina effects than they do in the report (during El Nino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periods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hydro costs might be near the value of lost load, or the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Scarcity Price, and during Nina periods they are perhaps zero). A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different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specification of hydro costs to reflect Colombia's more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extreme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weather conditions could potentially alter some of the reports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conclusions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on welfare effects and overproduction by hydro versus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thermal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plant, for example. Further analysis of the sensitivity of the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report's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conclusions to alternative approaches to evaluating hydro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costs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therefore seems desirable.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(2) The report's welfare analysis ignores allocative inefficiency by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assuming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perfectly inelastic demand. This may be appropriate for a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short-run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(i.e. daily) auction analysis, but not for a longer-run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welfare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analysis. Medium and long-run electricity demand elasticity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estimates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for the USA and other countries are strictly positive, and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often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exceed 0.6.  Including this in the welfare analysis might imply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that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overall efficiency and welfare were reduced by the 2009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Regulation 051, contrary to the report's conclusions.</w:t>
      </w:r>
      <w:proofErr w:type="gramEnd"/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(3) The report concludes that price-cost margins have increased since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2009, but doesn't attempt any analysis of why or how the changes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introduced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in Regulation 051 might have led to the greater exercise of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market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power by generators. In the absence of such an analysis, or at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least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 deeper understanding of this issue, recommendations for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adopting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"a richer bid specification that more closely resembles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actual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cost structures", or particular market power mitigation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measures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, are not well founded and in our view premature.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For example, with pure energy (pre Res 051 2009) bids, thermal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generators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bidding high prices into the auction risked being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spellStart"/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despatched</w:t>
      </w:r>
      <w:proofErr w:type="spellEnd"/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discontinuously or for short periods of time, and thus not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recovering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their start-up costs. (In the 1990's, nuclear plant used to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bid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zero or near-zero prices into the UK pool to avoid this outcome,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lastRenderedPageBreak/>
        <w:t>thus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ensuring that they operated as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baseload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plant). Under the post-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Res 051 2009 system, this risk was removed. So bidding in higher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energy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costs to set higher marginal prices would have become less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risky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and presumably more profitable. Further reducing risk by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allowing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for even more complex bids could conceivably make things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worse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rather than better.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We can't say if the points immediately above are all correct, but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merely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wish to point out that in the absence of an analysis of these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issues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, adopting one or more new measures to solve the problems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identified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in the report is likely to be counterproductive. To give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thus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point further weight, recall that Frank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Wolak's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2009/10 study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found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that the introduction of two-part bidding in Res 051 2009 did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not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reduce energy (variable cost) bids nor improve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despatch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efficiency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. 1 He also thought that hydro resources were being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underutilized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during peak periods, and recommended introducing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"</w:t>
      </w: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multiple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offer price steps for each generation unit that are fixed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for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the day" to solve this, in contrast to the current report's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findings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and recommendations. Hence these two studies are not in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complete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agreement on either the problems or the solutions.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However,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Wolak's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cautioning against the introduction of more complex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bids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to guarantee start-up cost recovery now sound prescient. 2 As he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observed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, "suppliers that receive guaranteed start-up cost recovery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still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have strong financial incentives to exercise all available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unilateral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market power in setting their energy offer prices."  And as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we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have noted above, guaranteeing start-up recovery may have actually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increased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incentives to exercise market power (i.e. increase price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bids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) by eliminating the risks entailed by pure energy bids.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We hope you find these comments helpful and will be happy to discuss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them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 further with you at your convenience.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Best regards,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David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Harbord</w:t>
      </w:r>
      <w:proofErr w:type="spellEnd"/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Nils-Henrik von der Fehr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1. Market Performance in the Colombian Electricity Market and the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Recent El Nino Event, Frank A.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Wolak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, September 2010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2.  Report on Market Performance and Market Monitoring in the  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Colombian Electricity Supply Industry, Frank A. </w:t>
      </w: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Wolak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, July 30, 2009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Market Analysis Ltd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34 Great Clarendon Street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Oxford OX2 6AT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Tel: 44 (0)7530 241538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spell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Movil</w:t>
      </w:r>
      <w:proofErr w:type="spell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: 57 316 7786064 (Colombia)</w:t>
      </w:r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proofErr w:type="gramStart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>email</w:t>
      </w:r>
      <w:proofErr w:type="gramEnd"/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: </w:t>
      </w:r>
      <w:hyperlink r:id="rId8" w:history="1">
        <w:r w:rsidRPr="009176E1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es-CO"/>
          </w:rPr>
          <w:t>davidharbord@market-analysis.co.uk</w:t>
        </w:r>
      </w:hyperlink>
    </w:p>
    <w:p w:rsidR="009176E1" w:rsidRPr="009176E1" w:rsidRDefault="009176E1" w:rsidP="00917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00" w:line="240" w:lineRule="auto"/>
        <w:rPr>
          <w:rFonts w:ascii="Courier New" w:eastAsia="Times New Roman" w:hAnsi="Courier New" w:cs="Courier New"/>
          <w:sz w:val="20"/>
          <w:szCs w:val="20"/>
          <w:lang w:val="en-US" w:eastAsia="es-CO"/>
        </w:rPr>
      </w:pPr>
      <w:r w:rsidRPr="009176E1">
        <w:rPr>
          <w:rFonts w:ascii="Courier New" w:eastAsia="Times New Roman" w:hAnsi="Courier New" w:cs="Courier New"/>
          <w:sz w:val="20"/>
          <w:szCs w:val="20"/>
          <w:lang w:val="en-US" w:eastAsia="es-CO"/>
        </w:rPr>
        <w:t xml:space="preserve">Website: </w:t>
      </w:r>
      <w:hyperlink r:id="rId9" w:history="1">
        <w:r w:rsidRPr="009176E1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es-CO"/>
          </w:rPr>
          <w:t>http://market-analysis.co.uk</w:t>
        </w:r>
      </w:hyperlink>
    </w:p>
    <w:p w:rsidR="00290A6F" w:rsidRPr="009176E1" w:rsidRDefault="00290A6F">
      <w:pPr>
        <w:rPr>
          <w:lang w:val="en-US"/>
        </w:rPr>
      </w:pPr>
      <w:bookmarkStart w:id="0" w:name="_GoBack"/>
      <w:bookmarkEnd w:id="0"/>
    </w:p>
    <w:sectPr w:rsidR="00290A6F" w:rsidRPr="009176E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6E1"/>
    <w:rsid w:val="00290A6F"/>
    <w:rsid w:val="0091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176E1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17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176E1"/>
    <w:rPr>
      <w:rFonts w:ascii="Courier New" w:eastAsia="Times New Roman" w:hAnsi="Courier New" w:cs="Courier New"/>
      <w:sz w:val="20"/>
      <w:szCs w:val="20"/>
      <w:lang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9176E1"/>
    <w:rPr>
      <w:color w:val="0000FF"/>
      <w:u w:val="singl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17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176E1"/>
    <w:rPr>
      <w:rFonts w:ascii="Courier New" w:eastAsia="Times New Roman" w:hAnsi="Courier New" w:cs="Courier New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6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277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harbord@market-analysis.co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rlos.eraso@creg.gov.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avier.diaz@creg.gov.co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davidharbord@market-analysis.co.u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arket-analysis.co.u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Torres Trujillo</dc:creator>
  <cp:lastModifiedBy>Camilo Torres Trujillo</cp:lastModifiedBy>
  <cp:revision>1</cp:revision>
  <dcterms:created xsi:type="dcterms:W3CDTF">2013-12-10T00:21:00Z</dcterms:created>
  <dcterms:modified xsi:type="dcterms:W3CDTF">2013-12-10T00:23:00Z</dcterms:modified>
</cp:coreProperties>
</file>